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83B" w:rsidRDefault="0027283B" w:rsidP="005C1638">
      <w:pPr>
        <w:spacing w:line="276" w:lineRule="auto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Kódex správy spoločností s majetkovou účasťou štátu na Slovensku</w:t>
      </w:r>
    </w:p>
    <w:p w:rsidR="005C1638" w:rsidRDefault="005C1638" w:rsidP="005C1638">
      <w:pPr>
        <w:spacing w:after="0"/>
        <w:rPr>
          <w:i/>
          <w:noProof/>
          <w:sz w:val="24"/>
          <w:szCs w:val="24"/>
          <w:lang w:val="cs-CZ"/>
        </w:rPr>
      </w:pPr>
      <w:r w:rsidRPr="005C1638">
        <w:rPr>
          <w:i/>
        </w:rPr>
        <w:t xml:space="preserve">Autor: </w:t>
      </w:r>
      <w:r w:rsidRPr="005C1638">
        <w:rPr>
          <w:i/>
          <w:sz w:val="24"/>
          <w:szCs w:val="24"/>
          <w:lang w:val="cs-CZ"/>
        </w:rPr>
        <w:t xml:space="preserve">Mgr. Martin Peter, </w:t>
      </w:r>
      <w:r w:rsidRPr="005C1638">
        <w:rPr>
          <w:i/>
          <w:noProof/>
          <w:sz w:val="24"/>
          <w:szCs w:val="24"/>
          <w:lang w:val="cs-CZ"/>
        </w:rPr>
        <w:t xml:space="preserve">riaditeľ odboru bankovníctva, MFSR, člen Správnej rady SACG </w:t>
      </w:r>
    </w:p>
    <w:p w:rsidR="005C1638" w:rsidRPr="005C1638" w:rsidRDefault="005C1638" w:rsidP="005C1638">
      <w:pPr>
        <w:spacing w:after="0"/>
        <w:rPr>
          <w:i/>
        </w:rPr>
      </w:pPr>
    </w:p>
    <w:p w:rsidR="00567901" w:rsidRDefault="0068585E" w:rsidP="00760085">
      <w:pPr>
        <w:spacing w:line="276" w:lineRule="auto"/>
        <w:jc w:val="both"/>
      </w:pPr>
      <w:r>
        <w:t>Slovenská asociácia Corporate Governance</w:t>
      </w:r>
      <w:r w:rsidR="0027283B">
        <w:t xml:space="preserve"> (SACG)</w:t>
      </w:r>
      <w:r>
        <w:t xml:space="preserve"> zverejnila tento rok </w:t>
      </w:r>
      <w:r w:rsidR="00567901">
        <w:t xml:space="preserve">po dlhých prípravách </w:t>
      </w:r>
      <w:r>
        <w:t>nový Kódex správy spoločností s majetkovou účasťou štátu</w:t>
      </w:r>
      <w:r w:rsidR="0027283B">
        <w:t xml:space="preserve"> na Slovensku</w:t>
      </w:r>
      <w:r w:rsidR="00567901">
        <w:rPr>
          <w:rStyle w:val="FootnoteReference"/>
        </w:rPr>
        <w:footnoteReference w:id="1"/>
      </w:r>
      <w:r w:rsidR="00567901">
        <w:t xml:space="preserve"> (Kódex)</w:t>
      </w:r>
      <w:r>
        <w:t>. Ten vychádza z </w:t>
      </w:r>
      <w:r w:rsidR="00567901">
        <w:t>princípov</w:t>
      </w:r>
      <w:r>
        <w:t xml:space="preserve"> Corporate Governance pre štátom vlastnené podniky </w:t>
      </w:r>
      <w:r w:rsidR="00567901">
        <w:t>Organizácie pre hospodársku spoluprácu a rozvoj</w:t>
      </w:r>
      <w:r w:rsidR="00567901">
        <w:rPr>
          <w:rStyle w:val="FootnoteReference"/>
        </w:rPr>
        <w:footnoteReference w:id="2"/>
      </w:r>
      <w:r w:rsidR="00567901">
        <w:t xml:space="preserve"> (OECD) prijatých v roku 201</w:t>
      </w:r>
      <w:r w:rsidR="0027283B">
        <w:t>6</w:t>
      </w:r>
      <w:r w:rsidR="00567901">
        <w:t xml:space="preserve">. </w:t>
      </w:r>
    </w:p>
    <w:p w:rsidR="00567901" w:rsidRDefault="00567901" w:rsidP="00760085">
      <w:pPr>
        <w:spacing w:line="276" w:lineRule="auto"/>
        <w:jc w:val="both"/>
      </w:pPr>
      <w:r>
        <w:t xml:space="preserve">Princípy </w:t>
      </w:r>
      <w:r w:rsidR="0027283B">
        <w:t>C</w:t>
      </w:r>
      <w:r>
        <w:t xml:space="preserve">orporate </w:t>
      </w:r>
      <w:r w:rsidR="0027283B">
        <w:t>G</w:t>
      </w:r>
      <w:r>
        <w:t>overnance sú globálnym fenoménom, ktorého cieľom je nastavovať vysoké štandardy riadenia spoločností a výkonu ich podnikateľskej činnosti. Či už vo vzťahu k vlastníkom a klientom a rovnako dôležito aj vo vzťahu k zamestnancom a spoločnosti ako takej. Sú to práve</w:t>
      </w:r>
      <w:r w:rsidR="000463E2">
        <w:t xml:space="preserve"> nedostatky v spôsobe spravovania a riadenia </w:t>
      </w:r>
      <w:r w:rsidR="0068585E">
        <w:t>spoločnost</w:t>
      </w:r>
      <w:r>
        <w:t xml:space="preserve">í, ktoré </w:t>
      </w:r>
      <w:r w:rsidR="000463E2">
        <w:t xml:space="preserve">sú najčastejšími dôvodmi ich neefektívneho fungovania. Nedostatočná kontrola a transparentnosť, zasahovanie </w:t>
      </w:r>
      <w:r w:rsidR="00D1299D">
        <w:t xml:space="preserve">externých, prípadne uprednostňovanie osobných záujmov tam, kde by mala rozhodovať efektivita neveštia nikdy nič dobré. Aj bežná spoločnosť sa dokáže dostať do bludného kruhu, kedy namiesto záujmov spoločnosti, jej vlastníkov a zamestnancov prevláda záujem jednotlivcov na krátkodobom prospechu. Úlohou súboru pravidiel a postupov </w:t>
      </w:r>
      <w:r w:rsidR="0027283B">
        <w:t>C</w:t>
      </w:r>
      <w:r w:rsidR="00D1299D">
        <w:t xml:space="preserve">orporate </w:t>
      </w:r>
      <w:r w:rsidR="0027283B">
        <w:t>G</w:t>
      </w:r>
      <w:r w:rsidR="00D1299D">
        <w:t xml:space="preserve">overnance je predchádzať takýmto situáciám. OECD </w:t>
      </w:r>
      <w:r w:rsidR="00596D32">
        <w:t>princípy</w:t>
      </w:r>
      <w:r w:rsidR="00D1299D">
        <w:t xml:space="preserve"> Corporate Governance</w:t>
      </w:r>
      <w:r w:rsidR="00596D32">
        <w:rPr>
          <w:rStyle w:val="FootnoteReference"/>
        </w:rPr>
        <w:footnoteReference w:id="3"/>
      </w:r>
      <w:r w:rsidR="00D1299D">
        <w:t xml:space="preserve"> </w:t>
      </w:r>
      <w:r>
        <w:t xml:space="preserve">z roku 2015 </w:t>
      </w:r>
      <w:r w:rsidR="00D1299D">
        <w:t>a</w:t>
      </w:r>
      <w:r>
        <w:t xml:space="preserve"> rovnako </w:t>
      </w:r>
      <w:r w:rsidR="00D1299D">
        <w:t>Kódex správy spoločností na Slovensku</w:t>
      </w:r>
      <w:r w:rsidR="00596D32">
        <w:rPr>
          <w:rStyle w:val="FootnoteReference"/>
        </w:rPr>
        <w:footnoteReference w:id="4"/>
      </w:r>
      <w:r w:rsidR="00D1299D">
        <w:t xml:space="preserve"> </w:t>
      </w:r>
      <w:r>
        <w:t xml:space="preserve">z roku 2016 </w:t>
      </w:r>
      <w:r w:rsidR="00D1299D">
        <w:t>sú príručkami, ktorých prenesenie do fungovania podniku zabraňujú takýmto neželaným excesom.</w:t>
      </w:r>
    </w:p>
    <w:p w:rsidR="00D1299D" w:rsidRDefault="00D1299D" w:rsidP="00760085">
      <w:pPr>
        <w:spacing w:line="276" w:lineRule="auto"/>
        <w:jc w:val="both"/>
      </w:pPr>
      <w:r>
        <w:t xml:space="preserve">Čo však v prípade, ak je fungovanie </w:t>
      </w:r>
      <w:r w:rsidR="00567901">
        <w:t>podnikov</w:t>
      </w:r>
      <w:r>
        <w:t xml:space="preserve"> odlišné? Ak sa jedná o štátny alebo štátom vlastnený podnik, kde nie len efektivita a zisk, ale aj verejný záujem sú faktormi ovplyvňujúcimi jeho fungovanie</w:t>
      </w:r>
      <w:r w:rsidR="00596D32">
        <w:t xml:space="preserve">, aplikácia všeobecných princípov správy a riadenia spôsobom jedna k jednej nie je taká jednoduchá. Pritom práve štátom vlastnené spoločnosti tvoria nedeliteľnú súčasť hospodárstva, zabezpečujú základné energetické a logistické prepojenia a v poslednom čase prenikajú do stavebníctva, na finančné trhy a do iných odvetví ekonomiky. </w:t>
      </w:r>
    </w:p>
    <w:p w:rsidR="00D1299D" w:rsidRDefault="00596D32" w:rsidP="00760085">
      <w:pPr>
        <w:spacing w:line="276" w:lineRule="auto"/>
        <w:jc w:val="both"/>
      </w:pPr>
      <w:r>
        <w:t xml:space="preserve">Pri globálnom pohľade </w:t>
      </w:r>
      <w:r w:rsidR="00567901">
        <w:t>s</w:t>
      </w:r>
      <w:r>
        <w:t xml:space="preserve">a </w:t>
      </w:r>
      <w:r w:rsidR="00567901">
        <w:t xml:space="preserve">v posledných rokoch </w:t>
      </w:r>
      <w:r>
        <w:t xml:space="preserve">postavenie štátnych podnikov, volajme ich štátnymi podnikmi, aj keď formy štátneho vlastníctva a vplyvu štátu v nich sa môžu líšiť, </w:t>
      </w:r>
      <w:r w:rsidR="00567901">
        <w:t>zvyšuje a to najmä</w:t>
      </w:r>
      <w:r>
        <w:t xml:space="preserve"> rastom ekonomík v Ázii.</w:t>
      </w:r>
      <w:r w:rsidR="0051148B">
        <w:t xml:space="preserve"> Len pre zaujímavosť, v rebríčku Forbes 2000 za rok 2021 </w:t>
      </w:r>
      <w:r w:rsidR="00CD07AA">
        <w:t>sú</w:t>
      </w:r>
      <w:r w:rsidR="0051148B">
        <w:t xml:space="preserve"> v prvej desiatke </w:t>
      </w:r>
      <w:r w:rsidR="00CD07AA">
        <w:t xml:space="preserve">až </w:t>
      </w:r>
      <w:r>
        <w:t>tri</w:t>
      </w:r>
      <w:r w:rsidR="00CD07AA">
        <w:t xml:space="preserve"> čínske štátne podniky, vrátane lídra rebríčka, čínskej banky ICBC</w:t>
      </w:r>
      <w:r>
        <w:rPr>
          <w:rStyle w:val="FootnoteReference"/>
        </w:rPr>
        <w:footnoteReference w:id="5"/>
      </w:r>
      <w:r w:rsidR="00CD07AA">
        <w:t>.</w:t>
      </w:r>
      <w:r w:rsidR="00005CF2">
        <w:t xml:space="preserve"> </w:t>
      </w:r>
    </w:p>
    <w:p w:rsidR="000463E2" w:rsidRDefault="00005CF2" w:rsidP="00760085">
      <w:pPr>
        <w:spacing w:line="276" w:lineRule="auto"/>
        <w:jc w:val="both"/>
      </w:pPr>
      <w:r>
        <w:t xml:space="preserve">Tento trend globálneho </w:t>
      </w:r>
      <w:r w:rsidR="00D1299D">
        <w:t xml:space="preserve">rastu </w:t>
      </w:r>
      <w:r>
        <w:t>štátnych</w:t>
      </w:r>
      <w:r w:rsidR="00596D32">
        <w:t xml:space="preserve"> podnikov v </w:t>
      </w:r>
      <w:r w:rsidR="00D1299D">
        <w:t>ekonomik</w:t>
      </w:r>
      <w:r w:rsidR="00596D32">
        <w:t>e</w:t>
      </w:r>
      <w:r w:rsidR="00D1299D">
        <w:t xml:space="preserve"> </w:t>
      </w:r>
      <w:r>
        <w:t xml:space="preserve">bol od prelomu tisícročí natoľko významný, že </w:t>
      </w:r>
      <w:r w:rsidR="00D1299D">
        <w:t xml:space="preserve">OECD sa už počas prípravy a dokončovania Princípov Corporate </w:t>
      </w:r>
      <w:r w:rsidR="00781A41">
        <w:t>Governance</w:t>
      </w:r>
      <w:r w:rsidR="00D1299D">
        <w:t xml:space="preserve"> pre verejne obchodované spoločnosti (2015) zaoberala prípravou samostatného balíka odporúčaní pre štátom vlastnené spoločnosti. </w:t>
      </w:r>
    </w:p>
    <w:p w:rsidR="00781A41" w:rsidRDefault="00291C7A" w:rsidP="00760085">
      <w:pPr>
        <w:spacing w:line="276" w:lineRule="auto"/>
        <w:jc w:val="both"/>
      </w:pPr>
      <w:r>
        <w:t>Tieto rozhovory trvali niekoľko rokov a je nutné dodať, že neboli jednoduché. Vstupovať do tejto diskusie mohli nie len súčasný členovia OECD, ale aj pristupujúce krajiny, resp. krajiny s pozíciou pozorovateľov, ako Čína alebo Ruská federácia. Najvypuklejšie boli najmä otázky previazanosti štátu a štátnych politík na fungovanie štátnych podnikov, nároky na transparentnosť, ale aj verejnú kontrolu ich činnosti. Nakoniec z týchto debát vznikol súbor pravidiel pre Corporate Governance štátom vlastnených spoločností, ktorý bol schválený na pôde OECD v roku 2016.</w:t>
      </w:r>
    </w:p>
    <w:p w:rsidR="0052445A" w:rsidRDefault="00781A41" w:rsidP="00760085">
      <w:pPr>
        <w:spacing w:line="276" w:lineRule="auto"/>
        <w:jc w:val="both"/>
      </w:pPr>
      <w:r>
        <w:t>Slovenská asociácia Corporate Governance už v</w:t>
      </w:r>
      <w:r w:rsidR="00291C7A">
        <w:t> tom istom roku</w:t>
      </w:r>
      <w:r>
        <w:t>, po schválení princípov na pôde OECD</w:t>
      </w:r>
      <w:r w:rsidR="0052445A">
        <w:t>,</w:t>
      </w:r>
      <w:r>
        <w:t xml:space="preserve"> začala</w:t>
      </w:r>
      <w:r w:rsidR="0052445A">
        <w:t xml:space="preserve"> </w:t>
      </w:r>
      <w:r>
        <w:t>prípravu spracovania týchto pravidiel pre potreby Slovenskej republiky.</w:t>
      </w:r>
      <w:r w:rsidR="005231E9">
        <w:t xml:space="preserve"> Pracovná skupina pozostávala zo zástupcov členov </w:t>
      </w:r>
      <w:r w:rsidR="0027283B">
        <w:t>SACG</w:t>
      </w:r>
      <w:r w:rsidR="005231E9">
        <w:t xml:space="preserve"> z podnikateľského prostredia a rovnako zástupcov štá</w:t>
      </w:r>
      <w:r w:rsidR="00E160C7">
        <w:t>t</w:t>
      </w:r>
      <w:r w:rsidR="005231E9">
        <w:t>u</w:t>
      </w:r>
      <w:r w:rsidR="00E160C7">
        <w:t>, či už burzy cenných papierov alebo ministerstiev spravodlivosti, financií a</w:t>
      </w:r>
      <w:r w:rsidR="0052445A">
        <w:t> </w:t>
      </w:r>
      <w:r w:rsidR="00E160C7">
        <w:t>hospodárstva</w:t>
      </w:r>
      <w:r w:rsidR="0052445A">
        <w:t xml:space="preserve"> alebo štátnych podnikov</w:t>
      </w:r>
      <w:r w:rsidR="00E160C7">
        <w:t xml:space="preserve">. Stála pred ňou neľahká úloha. </w:t>
      </w:r>
      <w:r w:rsidR="005231E9">
        <w:t xml:space="preserve">Nestačilo </w:t>
      </w:r>
      <w:r w:rsidR="00E160C7">
        <w:t>totiž</w:t>
      </w:r>
      <w:r w:rsidR="005231E9">
        <w:t xml:space="preserve"> len vziať OECD princípy a preložiť ich. Je potrebné si uvedomiť, že OECD má 38 členských štátov </w:t>
      </w:r>
      <w:r w:rsidR="005231E9">
        <w:lastRenderedPageBreak/>
        <w:t>a niekoľko, takzvaných pozorovateľov, medzi ktorými sú napríklad aj</w:t>
      </w:r>
      <w:r w:rsidR="00291C7A">
        <w:t xml:space="preserve"> už spomenutá </w:t>
      </w:r>
      <w:r w:rsidR="005231E9">
        <w:t>Čína a</w:t>
      </w:r>
      <w:r w:rsidR="00291C7A">
        <w:t> </w:t>
      </w:r>
      <w:r w:rsidR="005231E9">
        <w:t>Rusk</w:t>
      </w:r>
      <w:r w:rsidR="00291C7A">
        <w:t>á federácia</w:t>
      </w:r>
      <w:r w:rsidR="00E160C7">
        <w:t>. R</w:t>
      </w:r>
      <w:r w:rsidR="005231E9">
        <w:t>eprezentuje</w:t>
      </w:r>
      <w:r w:rsidR="0052445A">
        <w:t xml:space="preserve"> takmer 80% svetového obchodu a investícií. To predstavuje</w:t>
      </w:r>
      <w:r w:rsidR="005231E9">
        <w:t xml:space="preserve"> množstvo jurisdikcií, s rôznymi spôsobmi ukotvenia práva obchodných spoločností a fungovania štátnych podnikov. </w:t>
      </w:r>
      <w:r w:rsidR="00291C7A">
        <w:t xml:space="preserve">Nehovoriac o špecifikách vlastníctva v niektorých krajinách, ktoré bolo do pravidiel potrebné premietnuť. </w:t>
      </w:r>
      <w:r w:rsidR="005231E9">
        <w:t xml:space="preserve">OECD princípy </w:t>
      </w:r>
      <w:r w:rsidR="00E160C7">
        <w:t>sú</w:t>
      </w:r>
      <w:r w:rsidR="005231E9">
        <w:t xml:space="preserve"> </w:t>
      </w:r>
      <w:r w:rsidR="00E160C7">
        <w:t xml:space="preserve">z tohto dôvodu </w:t>
      </w:r>
      <w:r w:rsidR="005231E9">
        <w:t xml:space="preserve">koncipované </w:t>
      </w:r>
      <w:r w:rsidR="00E160C7">
        <w:t>dostatočne široko</w:t>
      </w:r>
      <w:r w:rsidR="0052445A">
        <w:t xml:space="preserve"> tak</w:t>
      </w:r>
      <w:r w:rsidR="00E160C7">
        <w:t xml:space="preserve">, aby zachytili </w:t>
      </w:r>
      <w:r w:rsidR="005231E9">
        <w:t>túto rôznorodosť</w:t>
      </w:r>
      <w:r w:rsidR="00E160C7">
        <w:t xml:space="preserve"> a boli aplikovateľné každým štátom bez ohľadu na jeho </w:t>
      </w:r>
      <w:r w:rsidR="0068585E">
        <w:t>osobitosti</w:t>
      </w:r>
      <w:r w:rsidR="00E160C7">
        <w:t xml:space="preserve">. Výsledkom </w:t>
      </w:r>
      <w:r w:rsidR="0052445A">
        <w:t xml:space="preserve">je teda súbor pravidiel, ktoré si však každý štát musí spracovať s prihliadnutím na národné ekonomické a najmä právne </w:t>
      </w:r>
      <w:r w:rsidR="0068585E">
        <w:t>podmienky</w:t>
      </w:r>
      <w:r w:rsidR="0052445A">
        <w:t xml:space="preserve">. A to bola aj hlavná úloha </w:t>
      </w:r>
      <w:r w:rsidR="0068585E">
        <w:t xml:space="preserve">vytvorenej </w:t>
      </w:r>
      <w:r w:rsidR="0052445A">
        <w:t>pracovnej skupiny</w:t>
      </w:r>
      <w:r w:rsidR="00291C7A">
        <w:t>.</w:t>
      </w:r>
    </w:p>
    <w:p w:rsidR="0052445A" w:rsidRDefault="0052445A" w:rsidP="00760085">
      <w:pPr>
        <w:spacing w:line="276" w:lineRule="auto"/>
        <w:jc w:val="both"/>
      </w:pPr>
      <w:r>
        <w:t xml:space="preserve">Výsledkom </w:t>
      </w:r>
      <w:r w:rsidR="00967610">
        <w:t>jej</w:t>
      </w:r>
      <w:r w:rsidR="0068585E">
        <w:t xml:space="preserve"> úsilia </w:t>
      </w:r>
      <w:r w:rsidR="00967610">
        <w:t>bolo v roku 2018 predstavenie</w:t>
      </w:r>
      <w:r w:rsidR="0068585E">
        <w:t xml:space="preserve"> </w:t>
      </w:r>
      <w:r>
        <w:t>návrh</w:t>
      </w:r>
      <w:r w:rsidR="00967610">
        <w:t>u znenia K</w:t>
      </w:r>
      <w:r>
        <w:t>ódexu</w:t>
      </w:r>
      <w:r w:rsidR="00967610">
        <w:t xml:space="preserve">. Ten bol </w:t>
      </w:r>
      <w:r>
        <w:t xml:space="preserve"> odkonzultovaný s členmi </w:t>
      </w:r>
      <w:r w:rsidR="0027283B">
        <w:t>SACG</w:t>
      </w:r>
      <w:r>
        <w:t xml:space="preserve"> a rovnako inými subjektmi, či už z akademického prostredia alebo prostredia</w:t>
      </w:r>
      <w:r w:rsidR="0068585E">
        <w:t xml:space="preserve"> práve</w:t>
      </w:r>
      <w:r>
        <w:t xml:space="preserve"> štátnych podnikov. Nakoľko sa jedná o špecifickú tému, cieľom bolo dosiahnuť konzenzus na úrovni </w:t>
      </w:r>
      <w:r w:rsidR="0068585E">
        <w:t xml:space="preserve">všetkých zainteresovaný strán, vrátane </w:t>
      </w:r>
      <w:r>
        <w:t>vlády tak, aby sa Slovenská republika prihlásila k princípom OECD pre štátne podniky a zaviedla slovenskú verziu týchto princípov zhmotnenú v Kódexe správy spoločností s majetkovou účasťou štátu</w:t>
      </w:r>
      <w:r w:rsidR="0027283B">
        <w:t xml:space="preserve"> na Slovensku</w:t>
      </w:r>
      <w:r>
        <w:t xml:space="preserve"> do riadenia a fungovania štátnych podnikov u nás.</w:t>
      </w:r>
      <w:r w:rsidR="001D4C68">
        <w:t xml:space="preserve"> </w:t>
      </w:r>
    </w:p>
    <w:p w:rsidR="001D4C68" w:rsidRDefault="0068585E" w:rsidP="00760085">
      <w:pPr>
        <w:spacing w:line="276" w:lineRule="auto"/>
        <w:jc w:val="both"/>
      </w:pPr>
      <w:r>
        <w:t xml:space="preserve">Táto debata prebieha už dlhší čas a preto sa </w:t>
      </w:r>
      <w:r w:rsidR="001D4C68">
        <w:t xml:space="preserve">Slovenská asociácia </w:t>
      </w:r>
      <w:r>
        <w:t>C</w:t>
      </w:r>
      <w:r w:rsidR="001D4C68">
        <w:t xml:space="preserve">orporate </w:t>
      </w:r>
      <w:r>
        <w:t>G</w:t>
      </w:r>
      <w:r w:rsidR="001D4C68">
        <w:t xml:space="preserve">overnance rozhodla </w:t>
      </w:r>
      <w:r>
        <w:t>predstaviť výsledok dlhodobého úsilia svojich členov v podobe Kódexu</w:t>
      </w:r>
      <w:r w:rsidR="001D4C68">
        <w:t xml:space="preserve"> a</w:t>
      </w:r>
      <w:r>
        <w:t xml:space="preserve"> poskytnúť ho ako podklad pre </w:t>
      </w:r>
      <w:r w:rsidR="001D4C68">
        <w:t>účastníko</w:t>
      </w:r>
      <w:r>
        <w:t>v</w:t>
      </w:r>
      <w:r w:rsidR="001D4C68">
        <w:t xml:space="preserve"> trhu </w:t>
      </w:r>
      <w:r w:rsidR="00B01011">
        <w:t>p</w:t>
      </w:r>
      <w:r w:rsidR="001D4C68">
        <w:t xml:space="preserve">ri </w:t>
      </w:r>
      <w:r w:rsidR="00B01011">
        <w:t>ich snahe o zavádzanie</w:t>
      </w:r>
      <w:r w:rsidR="001D4C68">
        <w:t xml:space="preserve"> princípov OECD</w:t>
      </w:r>
      <w:r>
        <w:t xml:space="preserve">. </w:t>
      </w:r>
      <w:r w:rsidR="00B01011">
        <w:t>Je nutné podotknúť, že hoci t</w:t>
      </w:r>
      <w:r>
        <w:t xml:space="preserve">ie síce nie sú </w:t>
      </w:r>
      <w:r w:rsidR="001D4C68">
        <w:t xml:space="preserve">priamo záväzné, </w:t>
      </w:r>
      <w:r>
        <w:t>ale</w:t>
      </w:r>
      <w:r w:rsidR="001D4C68">
        <w:t xml:space="preserve"> postupne </w:t>
      </w:r>
      <w:r>
        <w:t xml:space="preserve">sa </w:t>
      </w:r>
      <w:r w:rsidR="001D4C68">
        <w:t>pretavujú do európskej legislatívy</w:t>
      </w:r>
      <w:r>
        <w:t xml:space="preserve"> a t</w:t>
      </w:r>
      <w:r w:rsidR="00967610">
        <w:t>eda</w:t>
      </w:r>
      <w:r>
        <w:t xml:space="preserve"> aj do </w:t>
      </w:r>
      <w:r w:rsidR="00B01011">
        <w:t>nášho</w:t>
      </w:r>
      <w:r>
        <w:t xml:space="preserve"> právneho poriadku, ktorým </w:t>
      </w:r>
      <w:r w:rsidR="00B01011">
        <w:t xml:space="preserve">sa </w:t>
      </w:r>
      <w:r>
        <w:t>spoločnosti, vrátane štátnych podnikov</w:t>
      </w:r>
      <w:r w:rsidR="00B01011">
        <w:t>,</w:t>
      </w:r>
      <w:r>
        <w:t xml:space="preserve"> musia riadiť.</w:t>
      </w:r>
      <w:r w:rsidR="001D4C68">
        <w:t xml:space="preserve"> Kódex im v tom môže výraznou mierov pomôcť.</w:t>
      </w:r>
    </w:p>
    <w:p w:rsidR="00E24412" w:rsidRDefault="00CA4F31" w:rsidP="00760085">
      <w:pPr>
        <w:spacing w:line="276" w:lineRule="auto"/>
        <w:jc w:val="both"/>
      </w:pPr>
      <w:r>
        <w:t xml:space="preserve">Samotný Kódex predstavuje posun od všeobecných pravidiel Corporate Governance a nesie v sebe špecifiká štátnych podnikov. Tým je najmä prvý princíp „Dôvody štátneho vlastníctva“, ktoré v sebe odzrkadľuje osobitné postavenie štátnych podnikov </w:t>
      </w:r>
      <w:r w:rsidR="00B01011">
        <w:t>v</w:t>
      </w:r>
      <w:r>
        <w:t> systéme ekonomicky aktívnych subjektov</w:t>
      </w:r>
      <w:r w:rsidR="00A457FA">
        <w:t xml:space="preserve"> v ekonomike</w:t>
      </w:r>
      <w:r>
        <w:t>.</w:t>
      </w:r>
      <w:r w:rsidR="002D3860">
        <w:t xml:space="preserve"> Je len veľmi málo štátom vlastnených spoločností, o ktorým by sme mohli povedať, že náplňou ich činnosti je čisto podnikanie za účelom zisku. Drvivá väčšina</w:t>
      </w:r>
      <w:r w:rsidR="00A457FA">
        <w:t xml:space="preserve"> z nich</w:t>
      </w:r>
      <w:r w:rsidR="002D3860">
        <w:t xml:space="preserve"> obhospodaruje </w:t>
      </w:r>
      <w:r w:rsidR="00967610">
        <w:t>verejné statky a </w:t>
      </w:r>
      <w:r w:rsidR="002D3860">
        <w:t>oblasti</w:t>
      </w:r>
      <w:r w:rsidR="00967610">
        <w:t xml:space="preserve"> ekonomiky</w:t>
      </w:r>
      <w:r w:rsidR="002D3860">
        <w:t xml:space="preserve">, ktoré majú vysokú mieru zohľadňovania verejného záujmu. Či už sú to nemocnice, železnice, dopravné stavby alebo iné sektory, bez ktorých spoločnosť nemôže fungovať a v ktorých sa štát rozhodol ponechať </w:t>
      </w:r>
      <w:r w:rsidR="00B01011">
        <w:t xml:space="preserve">si </w:t>
      </w:r>
      <w:r w:rsidR="002D3860">
        <w:t>dostatočne silné postavenie, aby vedel zabezpečiť poskytovanie takýchto služieb pre obyvateľ</w:t>
      </w:r>
      <w:r w:rsidR="00B01011">
        <w:t>ov</w:t>
      </w:r>
      <w:r w:rsidR="002D3860">
        <w:t xml:space="preserve">. Prvý princíp </w:t>
      </w:r>
      <w:r w:rsidR="00B01011">
        <w:t>podčiarkuje</w:t>
      </w:r>
      <w:r w:rsidR="002D3860">
        <w:t xml:space="preserve"> túto osobitosť a zároveň zdôrazňuje skutočnosť, že vlastníkom takýchto spoločností sú v konečnom dôsledku občania. Štát by mal </w:t>
      </w:r>
      <w:r w:rsidR="00B01011">
        <w:t xml:space="preserve">preto </w:t>
      </w:r>
      <w:r w:rsidR="002D3860">
        <w:t xml:space="preserve">vypracovať </w:t>
      </w:r>
      <w:r w:rsidR="00B01011">
        <w:t xml:space="preserve">zrozumiteľnú </w:t>
      </w:r>
      <w:r w:rsidR="002D3860">
        <w:t>stratégiu štátneho vlastníctva podnikov. Tá by mala obsahovať nie len ciele tohto vlastníctva, teda prečo štát vôbec vlastní určitý podnik</w:t>
      </w:r>
      <w:r w:rsidR="00E24412">
        <w:t>, ale mala by obsahovať mechanizmy prehodnocovania štátne</w:t>
      </w:r>
      <w:r w:rsidR="00B01011">
        <w:t>ho</w:t>
      </w:r>
      <w:r w:rsidR="00E24412">
        <w:t xml:space="preserve"> vlastníctv</w:t>
      </w:r>
      <w:r w:rsidR="00B01011">
        <w:t>a</w:t>
      </w:r>
      <w:r w:rsidR="00A457FA">
        <w:t>, jeho potreby</w:t>
      </w:r>
      <w:r w:rsidR="00E24412">
        <w:t xml:space="preserve"> a</w:t>
      </w:r>
      <w:r w:rsidR="00A457FA">
        <w:t> </w:t>
      </w:r>
      <w:r w:rsidR="00E24412">
        <w:t>prospešn</w:t>
      </w:r>
      <w:r w:rsidR="00A457FA">
        <w:t>osti pre spoločnosť</w:t>
      </w:r>
      <w:r w:rsidR="005C1638">
        <w:t>,</w:t>
      </w:r>
      <w:r w:rsidR="00E24412">
        <w:t xml:space="preserve"> ako </w:t>
      </w:r>
      <w:r w:rsidR="00A457FA">
        <w:t>aj spôsob hodnotenia jeho prínosu.</w:t>
      </w:r>
      <w:r w:rsidR="00E24412">
        <w:t xml:space="preserve"> Zároveň </w:t>
      </w:r>
      <w:r w:rsidR="00A457FA">
        <w:t>by mali byť stanovené</w:t>
      </w:r>
      <w:r w:rsidR="00E24412">
        <w:t xml:space="preserve"> presné pravidlá výkonu štátneho vlastníctva, zodpovednosti jednotlivých inštitúcií, ale aj osôb, ktoré ho vo vzťahu k podnikom vykonávajú. Tieto </w:t>
      </w:r>
      <w:r w:rsidR="00A457FA">
        <w:t xml:space="preserve">pravidlá </w:t>
      </w:r>
      <w:r w:rsidR="00E24412">
        <w:t>by mali byť nie len prístupné verejnosti, ale podliehať aj verejnému preskúmaniu, teda procesu hodnotenia, či sú pravidlá správne nastavené a nie je ich potrebné zmeniť.</w:t>
      </w:r>
    </w:p>
    <w:p w:rsidR="00CA4F31" w:rsidRDefault="00E24412" w:rsidP="00760085">
      <w:pPr>
        <w:spacing w:line="276" w:lineRule="auto"/>
        <w:jc w:val="both"/>
      </w:pPr>
      <w:r>
        <w:t xml:space="preserve">Druhý princíp „Úloha štátu ako vlastníka“ cieli na transparentnosť a zodpovedný výkon akcionárskych alebo vlastníckych práv. Štát by mal hlavne </w:t>
      </w:r>
      <w:r w:rsidR="00964B1D">
        <w:t>vytvoriť prehľadné vlastnícke štruktúry a najlepšie centralizovať štátne vlastníctvo alebo aspoň zefektívniť rozhodovacie a informačné toky medzi jednotlivými vykonávateľmi vlastníckych práv. Ak by teda nevznikol jeden subjekt spravujúci štátne vlastníctvo a kľúčové spoločnosti by zostali pod správou osobitných ministerstiev, tak štát by mal upraviť spôsob spolupráce a vzájomnej koordinácie týchto ministerstiev. Rovnako by mal vzniknúť jednotný systém vykazovania štátneho vlastníctva a efektivity činnosti štátnych podnikov. Ten by slúžil aj na, už skôr spomínané, hodnotenie efektivity štátneho vlastníctva a pravidiel jeho výkonu. Dôležitou je aj požiadavka minimalizácie politického zasahovania do fungovania štátnych podnikov. Len na doplnenie, štát by mal zabezpečiť aj profesionalitu svojich zástupcov v orgánoch štátnych podnikov, ich zodpovednosť za nimi prijímané rozhodnutia a určiť transparentný spôsob</w:t>
      </w:r>
      <w:r w:rsidR="00A457FA">
        <w:t xml:space="preserve"> výberu a </w:t>
      </w:r>
      <w:r w:rsidR="00964B1D">
        <w:t xml:space="preserve">odmeňovania. </w:t>
      </w:r>
    </w:p>
    <w:p w:rsidR="00EE7B06" w:rsidRDefault="00964B1D" w:rsidP="00760085">
      <w:pPr>
        <w:spacing w:line="276" w:lineRule="auto"/>
        <w:jc w:val="both"/>
      </w:pPr>
      <w:r>
        <w:lastRenderedPageBreak/>
        <w:t>Tretí princíp „Podniky na trhu“</w:t>
      </w:r>
      <w:r w:rsidR="00EE7B06">
        <w:t xml:space="preserve"> rieši najmä fungovanie štátnych podnikov v bežných trhových podmienkach. Ak teda vykonávajú podnikateľskú činnosť a sú konkurenciou pre súkromné spoločnosti, malo by platiť, že nie sú vo vzťahu k štátu, ale aj napríklad vo vzťahu k rôznym reguláciám, napríklad povinnosti platiť dane, žiadnym spôsobom zvýhodňované. Štát by nemal pre takéto podniky vytvárať umelo výhodnejšie trhové postavenie. To sa týka verejných obstarávaní, ale aj vzťahu s finančnými inštitúciami, kedy by napríklad štátne vlastníctvo nemalo znamenať výhodnejšie úverové podmienky pre takúto spoločnosť. Štát by tiež nemal poskytovať takýmto podnikom neodôvodnené finančné zdroje a ak tak len za transparentných podmienok a s jasným zdôvodnení</w:t>
      </w:r>
      <w:r w:rsidR="00967610">
        <w:t>m</w:t>
      </w:r>
      <w:r w:rsidR="00EE7B06">
        <w:t>. Týka sa to najmä prípadov, kedy by takáto spoločnosť</w:t>
      </w:r>
      <w:r w:rsidR="00A457FA">
        <w:t>,</w:t>
      </w:r>
      <w:r w:rsidR="00EE7B06">
        <w:t xml:space="preserve"> okrem bežných trhových tovarov a</w:t>
      </w:r>
      <w:r w:rsidR="00A457FA">
        <w:t> </w:t>
      </w:r>
      <w:r w:rsidR="00EE7B06">
        <w:t>služieb</w:t>
      </w:r>
      <w:r w:rsidR="00A457FA">
        <w:t>,</w:t>
      </w:r>
      <w:r w:rsidR="00EE7B06">
        <w:t xml:space="preserve"> vykonávala aj špeciálne činnosti vo verejnom záujme. Tieto by mali byť transparentne odôvodnené a platby za ne by nemali byť neprimerané.</w:t>
      </w:r>
    </w:p>
    <w:p w:rsidR="00751921" w:rsidRDefault="00CB64EC" w:rsidP="00760085">
      <w:pPr>
        <w:spacing w:line="276" w:lineRule="auto"/>
        <w:jc w:val="both"/>
      </w:pPr>
      <w:r>
        <w:t>Štvrtý princíp je zameraný na „Spravodlivé zaobchádzanie a akcionármi a ostatnými investormi</w:t>
      </w:r>
      <w:r w:rsidR="005C1638">
        <w:t>“</w:t>
      </w:r>
      <w:r>
        <w:t xml:space="preserve">. Ak je štátny podnik akciovou spoločnosťou, štát by mal vykonávať akcionárske práva štandardne a v prípade, ak je hlavným akcionárom, mal by zabezpečiť spravodlivé zaobchádzanie s ostatnými akcionármi. Zároveň </w:t>
      </w:r>
      <w:r w:rsidR="00751921">
        <w:t xml:space="preserve">Kódex zdôrazňuje potrebu presadzovania pravidiel </w:t>
      </w:r>
      <w:r w:rsidR="005C1638">
        <w:t>C</w:t>
      </w:r>
      <w:r w:rsidR="00751921">
        <w:t xml:space="preserve">orporate </w:t>
      </w:r>
      <w:r w:rsidR="005C1638">
        <w:t>G</w:t>
      </w:r>
      <w:r w:rsidR="00751921">
        <w:t>overnance</w:t>
      </w:r>
      <w:r w:rsidR="00751921" w:rsidRPr="00751921">
        <w:t xml:space="preserve"> </w:t>
      </w:r>
      <w:r w:rsidR="00751921">
        <w:t xml:space="preserve">v podnikoch so štátnou účasťou, či už vo forme dodržiavania pravidiel OECD alebo priamo Kódexu správy podnikov na Slovensku vydaného Slovenskou asociáciou Corporate Governance v roku 2016 a to aj v prípade, ak je podiel štátu menšinový. </w:t>
      </w:r>
    </w:p>
    <w:p w:rsidR="00E20D0D" w:rsidRPr="005E5F02" w:rsidRDefault="00E20D0D" w:rsidP="00760085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bCs/>
          <w:color w:val="000000" w:themeColor="text1"/>
        </w:rPr>
      </w:pPr>
      <w:r>
        <w:rPr>
          <w:rFonts w:cs="Times New Roman"/>
          <w:bCs/>
          <w:color w:val="000000" w:themeColor="text1"/>
        </w:rPr>
        <w:t>Piaty princíp definuje „Vzťah k zainteresovaným stranám a zodpovedné podnikanie štátnych podnikov</w:t>
      </w:r>
      <w:r w:rsidR="005C1638">
        <w:rPr>
          <w:rFonts w:cs="Times New Roman"/>
          <w:bCs/>
          <w:color w:val="000000" w:themeColor="text1"/>
        </w:rPr>
        <w:t>“</w:t>
      </w:r>
      <w:r>
        <w:rPr>
          <w:rFonts w:cs="Times New Roman"/>
          <w:bCs/>
          <w:color w:val="000000" w:themeColor="text1"/>
        </w:rPr>
        <w:t xml:space="preserve">. Tie by sa mali snažiť o nadštandardnú úroveň zodpovednosti pri svojej činnosti a to ako vo vzťahu k bežnej verejnosti, tak aj s ohľadom na obchodným partnerov, partnerov v odberateľsko-dodávateľských reťazcoch, ale aj zamestnancov. Neznamená to nadštandardnú starostlivosť, ale transparentnosť a zodpovednosť vo vzťahu ku krátkodobým a dlhodobým dôsledkom podnikania. Rovnako je dôležité, aby štátne podniky transformovali svoje činnosti s ohľadom na dlhodobú udržateľnosť a boj s klimatickými zmenami. Tento princíp zdôrazňuje </w:t>
      </w:r>
      <w:r w:rsidR="00760085">
        <w:rPr>
          <w:rFonts w:cs="Times New Roman"/>
          <w:bCs/>
          <w:color w:val="000000" w:themeColor="text1"/>
        </w:rPr>
        <w:t xml:space="preserve">osobitné postavenie štátnych podnikov a potrebu </w:t>
      </w:r>
      <w:r w:rsidR="00A457FA">
        <w:rPr>
          <w:rFonts w:cs="Times New Roman"/>
          <w:bCs/>
          <w:color w:val="000000" w:themeColor="text1"/>
        </w:rPr>
        <w:t xml:space="preserve">ich </w:t>
      </w:r>
      <w:r w:rsidR="00760085">
        <w:rPr>
          <w:rFonts w:cs="Times New Roman"/>
          <w:bCs/>
          <w:color w:val="000000" w:themeColor="text1"/>
        </w:rPr>
        <w:t>líderstva v otázkach spoločenskej zodpovednosti podnikania.</w:t>
      </w:r>
    </w:p>
    <w:p w:rsidR="00E20D0D" w:rsidRDefault="00760085" w:rsidP="00760085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Posledné dva princípy „Zverejňovanie a transparentnosť“ a „Povinnosti orgánov podnikov“ zdôrazňujú potrebu zodpovednosti štátnych podnikov a v nich pôsobiacich zástupcov štátu vo vzťahu k transparentnému a efektívnemu vykonávaniu svojej činnosti a povinností. Štát by mal, v súlade s pravidlami výkonu štátneho vlastníctva o ktorých sme hovorili vyššie, zabezpečiť zrozumiteľné a dostupné podávanie informácií </w:t>
      </w:r>
      <w:r w:rsidR="00A457FA">
        <w:rPr>
          <w:rFonts w:cs="Times New Roman"/>
          <w:color w:val="000000" w:themeColor="text1"/>
        </w:rPr>
        <w:t>o</w:t>
      </w:r>
      <w:r>
        <w:rPr>
          <w:rFonts w:cs="Times New Roman"/>
          <w:color w:val="000000" w:themeColor="text1"/>
        </w:rPr>
        <w:t> činnostiach podnikov a umožniť otvorenú diskusiu o význame štátneho vlastníctva a jeho budúcnosti. Jeho zástupcovia by mali byť nezávislí tak od možných politických vplyvov, ako aj od možných konfliktov záujmov. V neposlednom rade by štátne podniky mali vytvoriť prehľadnú a nezávislú štruktúru vnútornej kontroly a auditu tak, aby mohli dosahovať efektívne výsledky svojej činnosti v záujme štátu a jeho občanov.</w:t>
      </w:r>
    </w:p>
    <w:p w:rsidR="0024663F" w:rsidRPr="005E5F02" w:rsidRDefault="00A457FA" w:rsidP="00AF0F34">
      <w:pPr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  <w:r>
        <w:rPr>
          <w:rFonts w:cs="Times New Roman"/>
          <w:color w:val="000000" w:themeColor="text1"/>
        </w:rPr>
        <w:t xml:space="preserve">Mnohé z pravidiel a princípov Kódexu sú alebo sa v krátkej budúcnosti stanú súčasťou slovenského právneho poriadku. Kódex je unikátny tým, že obsahuje všetky </w:t>
      </w:r>
      <w:r w:rsidR="00967610">
        <w:rPr>
          <w:rFonts w:cs="Times New Roman"/>
          <w:color w:val="000000" w:themeColor="text1"/>
        </w:rPr>
        <w:t xml:space="preserve">tieto </w:t>
      </w:r>
      <w:r>
        <w:rPr>
          <w:rFonts w:cs="Times New Roman"/>
          <w:color w:val="000000" w:themeColor="text1"/>
        </w:rPr>
        <w:t>princípy na jednom mieste a zrozumiteľne, často s uvedením najlepšej praxe vo svete, komunikuje požiadavky na fungovanie štátnych podnikov. A tie nie sú za</w:t>
      </w:r>
      <w:r w:rsidR="00967610">
        <w:rPr>
          <w:rFonts w:cs="Times New Roman"/>
          <w:color w:val="000000" w:themeColor="text1"/>
        </w:rPr>
        <w:t>sa</w:t>
      </w:r>
      <w:r>
        <w:rPr>
          <w:rFonts w:cs="Times New Roman"/>
          <w:color w:val="000000" w:themeColor="text1"/>
        </w:rPr>
        <w:t xml:space="preserve"> až tak komplikované. Je predsa v záujme nie len štátu, ale nás všetkých, aby štátne podniky </w:t>
      </w:r>
      <w:r w:rsidR="00AF0F34">
        <w:rPr>
          <w:rFonts w:cs="Times New Roman"/>
          <w:color w:val="000000" w:themeColor="text1"/>
        </w:rPr>
        <w:t xml:space="preserve">vykonávali svoju činnosť čo najefektívnejšie a plnili si svoje povinnosti voči spoločnosti na rovnakej, ak nie vyššej kvalitatívnej úrovni, ako bežný podnikateľ. Veľa podnikov s majetkovou účasťou štátu už má vysokú úroveň správy a riadenia a už v súčasnosti by spĺňali mnohé z pravidiel Kódexu. Iné sú len na začiatku tejto cesty. Všetkým však môže Kódex pomôcť k napĺňaniu ich hlavného cieľa a tým je a vždy by malo byť, efektívne a riadne slúžiť svojim vlastníkom a teda nám všetkým. </w:t>
      </w:r>
    </w:p>
    <w:p w:rsidR="0024663F" w:rsidRDefault="0024663F" w:rsidP="00760085">
      <w:pPr>
        <w:spacing w:line="276" w:lineRule="auto"/>
        <w:jc w:val="both"/>
      </w:pPr>
    </w:p>
    <w:sectPr w:rsidR="00246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B4C" w:rsidRDefault="00F44B4C" w:rsidP="00596D32">
      <w:pPr>
        <w:spacing w:after="0" w:line="240" w:lineRule="auto"/>
      </w:pPr>
      <w:r>
        <w:separator/>
      </w:r>
    </w:p>
  </w:endnote>
  <w:endnote w:type="continuationSeparator" w:id="0">
    <w:p w:rsidR="00F44B4C" w:rsidRDefault="00F44B4C" w:rsidP="00596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B4C" w:rsidRDefault="00F44B4C" w:rsidP="00596D32">
      <w:pPr>
        <w:spacing w:after="0" w:line="240" w:lineRule="auto"/>
      </w:pPr>
      <w:r>
        <w:separator/>
      </w:r>
    </w:p>
  </w:footnote>
  <w:footnote w:type="continuationSeparator" w:id="0">
    <w:p w:rsidR="00F44B4C" w:rsidRDefault="00F44B4C" w:rsidP="00596D32">
      <w:pPr>
        <w:spacing w:after="0" w:line="240" w:lineRule="auto"/>
      </w:pPr>
      <w:r>
        <w:continuationSeparator/>
      </w:r>
    </w:p>
  </w:footnote>
  <w:footnote w:id="1">
    <w:p w:rsidR="00567901" w:rsidRDefault="0056790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2E41E6">
          <w:rPr>
            <w:rStyle w:val="Hyperlink"/>
          </w:rPr>
          <w:t>https://sacg.sk/wp-content/uploads/2021/07/K%c3%b3dex-pre-SOE_2018_zalomen%c3%bd.pdf</w:t>
        </w:r>
      </w:hyperlink>
      <w:r>
        <w:t xml:space="preserve"> </w:t>
      </w:r>
    </w:p>
  </w:footnote>
  <w:footnote w:id="2">
    <w:p w:rsidR="00567901" w:rsidRDefault="0056790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2E41E6">
          <w:rPr>
            <w:rStyle w:val="Hyperlink"/>
          </w:rPr>
          <w:t>https://www.oecd.org/corporate/guidelines-corporate-governance-soes.htm</w:t>
        </w:r>
      </w:hyperlink>
      <w:r>
        <w:t xml:space="preserve"> </w:t>
      </w:r>
    </w:p>
  </w:footnote>
  <w:footnote w:id="3">
    <w:p w:rsidR="00781A41" w:rsidRDefault="00781A4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3" w:history="1">
        <w:r w:rsidRPr="002E41E6">
          <w:rPr>
            <w:rStyle w:val="Hyperlink"/>
          </w:rPr>
          <w:t>https://www.oecd.org/corporate/principles-corporate-governance/</w:t>
        </w:r>
      </w:hyperlink>
      <w:r>
        <w:t xml:space="preserve"> </w:t>
      </w:r>
    </w:p>
  </w:footnote>
  <w:footnote w:id="4">
    <w:p w:rsidR="00781A41" w:rsidRDefault="00781A4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4" w:history="1">
        <w:r w:rsidRPr="002E41E6">
          <w:rPr>
            <w:rStyle w:val="Hyperlink"/>
          </w:rPr>
          <w:t>https://sacg.sk/kodexy/</w:t>
        </w:r>
      </w:hyperlink>
      <w:r>
        <w:t xml:space="preserve"> </w:t>
      </w:r>
    </w:p>
  </w:footnote>
  <w:footnote w:id="5">
    <w:p w:rsidR="00781A41" w:rsidRDefault="00781A4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5" w:anchor="3ac2ff405ac0" w:history="1">
        <w:r w:rsidRPr="002E41E6">
          <w:rPr>
            <w:rStyle w:val="Hyperlink"/>
          </w:rPr>
          <w:t>https://www.forbes.com/lists/global2000/#3ac2ff405ac0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134C4"/>
    <w:multiLevelType w:val="hybridMultilevel"/>
    <w:tmpl w:val="994C953E"/>
    <w:lvl w:ilvl="0" w:tplc="E61A11D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06921"/>
    <w:multiLevelType w:val="hybridMultilevel"/>
    <w:tmpl w:val="00286E14"/>
    <w:lvl w:ilvl="0" w:tplc="21C615C8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57A83"/>
    <w:multiLevelType w:val="hybridMultilevel"/>
    <w:tmpl w:val="94BA1E90"/>
    <w:lvl w:ilvl="0" w:tplc="D6668E36">
      <w:start w:val="1"/>
      <w:numFmt w:val="upperLetter"/>
      <w:lvlText w:val="%1."/>
      <w:lvlJc w:val="left"/>
      <w:pPr>
        <w:ind w:left="415" w:hanging="312"/>
        <w:jc w:val="right"/>
      </w:pPr>
      <w:rPr>
        <w:rFonts w:asciiTheme="minorHAnsi" w:eastAsia="Book Antiqua" w:hAnsiTheme="minorHAnsi" w:cs="Times New Roman" w:hint="default"/>
        <w:b/>
        <w:bCs/>
        <w:i w:val="0"/>
        <w:w w:val="99"/>
        <w:sz w:val="22"/>
        <w:szCs w:val="22"/>
      </w:rPr>
    </w:lvl>
    <w:lvl w:ilvl="1" w:tplc="25A6CC9E">
      <w:start w:val="1"/>
      <w:numFmt w:val="decimal"/>
      <w:lvlText w:val="%2."/>
      <w:lvlJc w:val="left"/>
      <w:pPr>
        <w:ind w:left="1164" w:hanging="313"/>
        <w:jc w:val="right"/>
      </w:pPr>
      <w:rPr>
        <w:rFonts w:ascii="Times New Roman" w:eastAsia="Book Antiqua" w:hAnsi="Times New Roman" w:cs="Times New Roman" w:hint="default"/>
        <w:b/>
        <w:bCs/>
        <w:w w:val="99"/>
        <w:sz w:val="24"/>
        <w:szCs w:val="24"/>
      </w:rPr>
    </w:lvl>
    <w:lvl w:ilvl="2" w:tplc="853AA3F4">
      <w:start w:val="1"/>
      <w:numFmt w:val="bullet"/>
      <w:lvlText w:val="•"/>
      <w:lvlJc w:val="left"/>
      <w:pPr>
        <w:ind w:left="1444" w:hanging="313"/>
      </w:pPr>
      <w:rPr>
        <w:rFonts w:hint="default"/>
      </w:rPr>
    </w:lvl>
    <w:lvl w:ilvl="3" w:tplc="43C40F4E">
      <w:start w:val="1"/>
      <w:numFmt w:val="bullet"/>
      <w:lvlText w:val="•"/>
      <w:lvlJc w:val="left"/>
      <w:pPr>
        <w:ind w:left="2161" w:hanging="313"/>
      </w:pPr>
      <w:rPr>
        <w:rFonts w:hint="default"/>
      </w:rPr>
    </w:lvl>
    <w:lvl w:ilvl="4" w:tplc="87CE7526">
      <w:start w:val="1"/>
      <w:numFmt w:val="bullet"/>
      <w:lvlText w:val="•"/>
      <w:lvlJc w:val="left"/>
      <w:pPr>
        <w:ind w:left="2878" w:hanging="313"/>
      </w:pPr>
      <w:rPr>
        <w:rFonts w:hint="default"/>
      </w:rPr>
    </w:lvl>
    <w:lvl w:ilvl="5" w:tplc="923C8AC8">
      <w:start w:val="1"/>
      <w:numFmt w:val="bullet"/>
      <w:lvlText w:val="•"/>
      <w:lvlJc w:val="left"/>
      <w:pPr>
        <w:ind w:left="3595" w:hanging="313"/>
      </w:pPr>
      <w:rPr>
        <w:rFonts w:hint="default"/>
      </w:rPr>
    </w:lvl>
    <w:lvl w:ilvl="6" w:tplc="89C27220">
      <w:start w:val="1"/>
      <w:numFmt w:val="bullet"/>
      <w:lvlText w:val="•"/>
      <w:lvlJc w:val="left"/>
      <w:pPr>
        <w:ind w:left="4312" w:hanging="313"/>
      </w:pPr>
      <w:rPr>
        <w:rFonts w:hint="default"/>
      </w:rPr>
    </w:lvl>
    <w:lvl w:ilvl="7" w:tplc="9AD69938">
      <w:start w:val="1"/>
      <w:numFmt w:val="bullet"/>
      <w:lvlText w:val="•"/>
      <w:lvlJc w:val="left"/>
      <w:pPr>
        <w:ind w:left="5029" w:hanging="313"/>
      </w:pPr>
      <w:rPr>
        <w:rFonts w:hint="default"/>
      </w:rPr>
    </w:lvl>
    <w:lvl w:ilvl="8" w:tplc="A9769054">
      <w:start w:val="1"/>
      <w:numFmt w:val="bullet"/>
      <w:lvlText w:val="•"/>
      <w:lvlJc w:val="left"/>
      <w:pPr>
        <w:ind w:left="5746" w:hanging="313"/>
      </w:pPr>
      <w:rPr>
        <w:rFonts w:hint="default"/>
      </w:rPr>
    </w:lvl>
  </w:abstractNum>
  <w:abstractNum w:abstractNumId="3" w15:restartNumberingAfterBreak="0">
    <w:nsid w:val="2ABF2EED"/>
    <w:multiLevelType w:val="hybridMultilevel"/>
    <w:tmpl w:val="38D23C02"/>
    <w:lvl w:ilvl="0" w:tplc="8ABE44E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967366"/>
    <w:multiLevelType w:val="hybridMultilevel"/>
    <w:tmpl w:val="88D26496"/>
    <w:lvl w:ilvl="0" w:tplc="30C2DF7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0437C6"/>
    <w:multiLevelType w:val="hybridMultilevel"/>
    <w:tmpl w:val="E194824A"/>
    <w:lvl w:ilvl="0" w:tplc="A588DDB4">
      <w:start w:val="1"/>
      <w:numFmt w:val="upperLetter"/>
      <w:lvlText w:val="%1."/>
      <w:lvlJc w:val="left"/>
      <w:pPr>
        <w:ind w:left="720" w:hanging="360"/>
      </w:pPr>
      <w:rPr>
        <w:rFonts w:eastAsiaTheme="minorHAnsi" w:cstheme="minorBidi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9B4B09"/>
    <w:multiLevelType w:val="hybridMultilevel"/>
    <w:tmpl w:val="1504B5BC"/>
    <w:lvl w:ilvl="0" w:tplc="A1C4650C">
      <w:start w:val="1"/>
      <w:numFmt w:val="upperLetter"/>
      <w:lvlText w:val="%1."/>
      <w:lvlJc w:val="left"/>
      <w:pPr>
        <w:ind w:left="720" w:hanging="360"/>
      </w:pPr>
      <w:rPr>
        <w:rFonts w:eastAsiaTheme="minorHAnsi" w:cstheme="minorBidi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465039"/>
    <w:multiLevelType w:val="hybridMultilevel"/>
    <w:tmpl w:val="4E8CCB54"/>
    <w:lvl w:ilvl="0" w:tplc="E0129780">
      <w:start w:val="1"/>
      <w:numFmt w:val="upperLetter"/>
      <w:lvlText w:val="%1."/>
      <w:lvlJc w:val="left"/>
      <w:pPr>
        <w:ind w:left="234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F20E1E"/>
    <w:multiLevelType w:val="hybridMultilevel"/>
    <w:tmpl w:val="A134C2CA"/>
    <w:lvl w:ilvl="0" w:tplc="2AD20B24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3E2"/>
    <w:rsid w:val="00005CF2"/>
    <w:rsid w:val="000463E2"/>
    <w:rsid w:val="00174565"/>
    <w:rsid w:val="001A63A8"/>
    <w:rsid w:val="001D4C68"/>
    <w:rsid w:val="0024663F"/>
    <w:rsid w:val="0027283B"/>
    <w:rsid w:val="00291C7A"/>
    <w:rsid w:val="002D3860"/>
    <w:rsid w:val="00345F3D"/>
    <w:rsid w:val="0051148B"/>
    <w:rsid w:val="005231E9"/>
    <w:rsid w:val="0052445A"/>
    <w:rsid w:val="00557EFF"/>
    <w:rsid w:val="00567901"/>
    <w:rsid w:val="00596D32"/>
    <w:rsid w:val="005C1638"/>
    <w:rsid w:val="0068585E"/>
    <w:rsid w:val="006B6C1F"/>
    <w:rsid w:val="006F24F5"/>
    <w:rsid w:val="00751921"/>
    <w:rsid w:val="00757022"/>
    <w:rsid w:val="00760085"/>
    <w:rsid w:val="00781A41"/>
    <w:rsid w:val="00964B1D"/>
    <w:rsid w:val="00967610"/>
    <w:rsid w:val="009F754E"/>
    <w:rsid w:val="00A457FA"/>
    <w:rsid w:val="00AF0F34"/>
    <w:rsid w:val="00B01011"/>
    <w:rsid w:val="00B05F47"/>
    <w:rsid w:val="00CA4F31"/>
    <w:rsid w:val="00CB64EC"/>
    <w:rsid w:val="00CD07AA"/>
    <w:rsid w:val="00D1299D"/>
    <w:rsid w:val="00DC52BB"/>
    <w:rsid w:val="00E160C7"/>
    <w:rsid w:val="00E20D0D"/>
    <w:rsid w:val="00E24412"/>
    <w:rsid w:val="00EE7B06"/>
    <w:rsid w:val="00F4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272EC7-69A1-421B-97DA-F83457597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24663F"/>
    <w:pPr>
      <w:widowControl w:val="0"/>
      <w:spacing w:before="8" w:after="0" w:line="240" w:lineRule="auto"/>
      <w:ind w:left="277"/>
      <w:outlineLvl w:val="0"/>
    </w:pPr>
    <w:rPr>
      <w:rFonts w:ascii="Book Antiqua" w:eastAsia="Book Antiqua" w:hAnsi="Book Antiqua"/>
      <w:b/>
      <w:bCs/>
      <w:sz w:val="56"/>
      <w:szCs w:val="56"/>
      <w:lang w:eastAsia="sk-SK" w:bidi="sk-SK"/>
    </w:rPr>
  </w:style>
  <w:style w:type="paragraph" w:styleId="Heading2">
    <w:name w:val="heading 2"/>
    <w:basedOn w:val="Normal"/>
    <w:link w:val="Heading2Char"/>
    <w:uiPriority w:val="1"/>
    <w:qFormat/>
    <w:rsid w:val="0024663F"/>
    <w:pPr>
      <w:widowControl w:val="0"/>
      <w:spacing w:before="41" w:after="0" w:line="240" w:lineRule="auto"/>
      <w:ind w:left="1131"/>
      <w:outlineLvl w:val="1"/>
    </w:pPr>
    <w:rPr>
      <w:rFonts w:ascii="Calibri" w:eastAsia="Calibri" w:hAnsi="Calibri"/>
      <w:i/>
      <w:sz w:val="32"/>
      <w:szCs w:val="32"/>
      <w:lang w:eastAsia="sk-SK" w:bidi="sk-SK"/>
    </w:rPr>
  </w:style>
  <w:style w:type="paragraph" w:styleId="Heading3">
    <w:name w:val="heading 3"/>
    <w:basedOn w:val="Normal"/>
    <w:link w:val="Heading3Char"/>
    <w:uiPriority w:val="1"/>
    <w:qFormat/>
    <w:rsid w:val="0024663F"/>
    <w:pPr>
      <w:widowControl w:val="0"/>
      <w:spacing w:before="54" w:after="0" w:line="240" w:lineRule="auto"/>
      <w:ind w:left="1131"/>
      <w:outlineLvl w:val="2"/>
    </w:pPr>
    <w:rPr>
      <w:rFonts w:ascii="Book Antiqua" w:eastAsia="Book Antiqua" w:hAnsi="Book Antiqua"/>
      <w:b/>
      <w:bCs/>
      <w:sz w:val="28"/>
      <w:szCs w:val="28"/>
      <w:lang w:eastAsia="sk-SK" w:bidi="sk-SK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663F"/>
    <w:pPr>
      <w:keepNext/>
      <w:keepLines/>
      <w:widowControl w:val="0"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eastAsia="sk-SK" w:bidi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63E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24663F"/>
    <w:rPr>
      <w:rFonts w:ascii="Book Antiqua" w:eastAsia="Book Antiqua" w:hAnsi="Book Antiqua"/>
      <w:b/>
      <w:bCs/>
      <w:sz w:val="56"/>
      <w:szCs w:val="56"/>
      <w:lang w:eastAsia="sk-SK" w:bidi="sk-SK"/>
    </w:rPr>
  </w:style>
  <w:style w:type="character" w:customStyle="1" w:styleId="Heading2Char">
    <w:name w:val="Heading 2 Char"/>
    <w:basedOn w:val="DefaultParagraphFont"/>
    <w:link w:val="Heading2"/>
    <w:uiPriority w:val="1"/>
    <w:rsid w:val="0024663F"/>
    <w:rPr>
      <w:rFonts w:ascii="Calibri" w:eastAsia="Calibri" w:hAnsi="Calibri"/>
      <w:i/>
      <w:sz w:val="32"/>
      <w:szCs w:val="32"/>
      <w:lang w:eastAsia="sk-SK" w:bidi="sk-SK"/>
    </w:rPr>
  </w:style>
  <w:style w:type="character" w:customStyle="1" w:styleId="Heading3Char">
    <w:name w:val="Heading 3 Char"/>
    <w:basedOn w:val="DefaultParagraphFont"/>
    <w:link w:val="Heading3"/>
    <w:uiPriority w:val="1"/>
    <w:rsid w:val="0024663F"/>
    <w:rPr>
      <w:rFonts w:ascii="Book Antiqua" w:eastAsia="Book Antiqua" w:hAnsi="Book Antiqua"/>
      <w:b/>
      <w:bCs/>
      <w:sz w:val="28"/>
      <w:szCs w:val="28"/>
      <w:lang w:eastAsia="sk-SK" w:bidi="sk-SK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4663F"/>
    <w:rPr>
      <w:rFonts w:asciiTheme="majorHAnsi" w:eastAsiaTheme="majorEastAsia" w:hAnsiTheme="majorHAnsi" w:cstheme="majorBidi"/>
      <w:i/>
      <w:iCs/>
      <w:color w:val="2E74B5" w:themeColor="accent1" w:themeShade="BF"/>
      <w:lang w:eastAsia="sk-SK" w:bidi="sk-SK"/>
    </w:rPr>
  </w:style>
  <w:style w:type="paragraph" w:styleId="BodyText">
    <w:name w:val="Body Text"/>
    <w:basedOn w:val="Normal"/>
    <w:link w:val="BodyTextChar"/>
    <w:uiPriority w:val="1"/>
    <w:qFormat/>
    <w:rsid w:val="0024663F"/>
    <w:pPr>
      <w:widowControl w:val="0"/>
      <w:spacing w:before="59" w:after="0" w:line="240" w:lineRule="auto"/>
      <w:ind w:left="623"/>
    </w:pPr>
    <w:rPr>
      <w:rFonts w:ascii="Palatino Linotype" w:eastAsia="Palatino Linotype" w:hAnsi="Palatino Linotype"/>
      <w:sz w:val="17"/>
      <w:szCs w:val="17"/>
      <w:lang w:eastAsia="sk-SK" w:bidi="sk-SK"/>
    </w:rPr>
  </w:style>
  <w:style w:type="character" w:customStyle="1" w:styleId="BodyTextChar">
    <w:name w:val="Body Text Char"/>
    <w:basedOn w:val="DefaultParagraphFont"/>
    <w:link w:val="BodyText"/>
    <w:uiPriority w:val="1"/>
    <w:rsid w:val="0024663F"/>
    <w:rPr>
      <w:rFonts w:ascii="Palatino Linotype" w:eastAsia="Palatino Linotype" w:hAnsi="Palatino Linotype"/>
      <w:sz w:val="17"/>
      <w:szCs w:val="17"/>
      <w:lang w:eastAsia="sk-SK" w:bidi="sk-SK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96D3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6D3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96D3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96D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oecd.org/corporate/principles-corporate-governance/" TargetMode="External"/><Relationship Id="rId2" Type="http://schemas.openxmlformats.org/officeDocument/2006/relationships/hyperlink" Target="https://www.oecd.org/corporate/guidelines-corporate-governance-soes.htm" TargetMode="External"/><Relationship Id="rId1" Type="http://schemas.openxmlformats.org/officeDocument/2006/relationships/hyperlink" Target="https://sacg.sk/wp-content/uploads/2021/07/K%c3%b3dex-pre-SOE_2018_zalomen%c3%bd.pdf" TargetMode="External"/><Relationship Id="rId5" Type="http://schemas.openxmlformats.org/officeDocument/2006/relationships/hyperlink" Target="https://www.forbes.com/lists/global2000/" TargetMode="External"/><Relationship Id="rId4" Type="http://schemas.openxmlformats.org/officeDocument/2006/relationships/hyperlink" Target="https://sacg.sk/kodexy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7E07E-0651-48E6-9C83-338105005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1863</Words>
  <Characters>10621</Characters>
  <Application>Microsoft Office Word</Application>
  <DocSecurity>0</DocSecurity>
  <Lines>88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Ministerstvo financií SR</Company>
  <LinksUpToDate>false</LinksUpToDate>
  <CharactersWithSpaces>12460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Martin</dc:creator>
  <cp:keywords/>
  <dc:description/>
  <cp:lastModifiedBy>Barbora Lazarova</cp:lastModifiedBy>
  <cp:revision>2</cp:revision>
  <dcterms:created xsi:type="dcterms:W3CDTF">2022-02-24T08:23:00Z</dcterms:created>
  <dcterms:modified xsi:type="dcterms:W3CDTF">2022-02-24T08:23:00Z</dcterms:modified>
</cp:coreProperties>
</file>